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rFonts w:ascii="Georgia" w:cs="Georgia" w:eastAsia="Georgia" w:hAnsi="Georgia"/>
          <w:b/>
          <w:bCs/>
          <w:color w:val="1B2733"/>
          <w:spacing w:val="20"/>
          <w:sz w:val="40"/>
          <w:szCs w:val="40"/>
        </w:rPr>
        <w:t xml:space="preserve">SOLOMON MADADHA</w:t>
      </w:r>
    </w:p>
    <w:p>
      <w:pPr>
        <w:spacing w:after="60"/>
      </w:pPr>
      <w:r>
        <w:rPr>
          <w:rFonts w:ascii="Calibri" w:cs="Calibri" w:eastAsia="Calibri" w:hAnsi="Calibri"/>
          <w:color w:val="B4661E"/>
          <w:sz w:val="21"/>
          <w:szCs w:val="21"/>
        </w:rPr>
        <w:t xml:space="preserve">Chief Data &amp; AI Officer  ·  Enterprise AI, Analytics &amp; Governance Executive</w:t>
      </w:r>
    </w:p>
    <w:p>
      <w:pPr>
        <w:pBdr>
          <w:bottom w:val="single" w:color="B4661E" w:sz="12" w:space="8"/>
        </w:pBdr>
        <w:spacing w:after="40"/>
      </w:pPr>
      <w:r>
        <w:rPr>
          <w:rFonts w:ascii="Calibri" w:cs="Calibri" w:eastAsia="Calibri" w:hAnsi="Calibri"/>
          <w:color w:val="40505E"/>
          <w:sz w:val="17"/>
          <w:szCs w:val="17"/>
        </w:rPr>
        <w:t xml:space="preserve">sol4.ai   |   (404) 849-8181   |   SolMadadha@gmail.com   |   LinkedIn</w:t>
      </w:r>
    </w:p>
    <w:p>
      <w:pPr>
        <w:pBdr>
          <w:bottom w:val="single" w:color="D2DAE1" w:sz="6" w:space="4"/>
        </w:pBdr>
        <w:spacing w:after="90" w:before="240"/>
      </w:pPr>
      <w:r>
        <w:rPr>
          <w:rFonts w:ascii="Calibri" w:cs="Calibri" w:eastAsia="Calibri" w:hAnsi="Calibri"/>
          <w:b/>
          <w:bCs/>
          <w:color w:val="B4661E"/>
          <w:spacing w:val="30"/>
          <w:sz w:val="19"/>
          <w:szCs w:val="19"/>
        </w:rPr>
        <w:t xml:space="preserve">EXECUTIVE PROFILE</w:t>
      </w:r>
    </w:p>
    <w:p>
      <w:pPr>
        <w:spacing w:after="140" w:line="264"/>
        <w:jc w:val="both"/>
      </w:pPr>
      <w:r>
        <w:rPr>
          <w:rFonts w:ascii="Calibri" w:cs="Calibri" w:eastAsia="Calibri" w:hAnsi="Calibri"/>
          <w:color w:val="1B2733"/>
          <w:sz w:val="20"/>
          <w:szCs w:val="20"/>
        </w:rPr>
        <w:t xml:space="preserve">Solomon Madadha is an enterprise AI, data, and analytics executive with more than </w:t>
      </w:r>
      <w:r>
        <w:rPr>
          <w:rFonts w:ascii="Calibri" w:cs="Calibri" w:eastAsia="Calibri" w:hAnsi="Calibri"/>
          <w:b/>
          <w:bCs/>
          <w:color w:val="1B2733"/>
          <w:sz w:val="20"/>
          <w:szCs w:val="20"/>
        </w:rPr>
        <w:t xml:space="preserve">25 years</w:t>
      </w:r>
      <w:r>
        <w:rPr>
          <w:rFonts w:ascii="Calibri" w:cs="Calibri" w:eastAsia="Calibri" w:hAnsi="Calibri"/>
          <w:color w:val="1B2733"/>
          <w:sz w:val="20"/>
          <w:szCs w:val="20"/>
        </w:rPr>
        <w:t xml:space="preserve"> of leadership across financial services, banking, and wealth management. He puts AI to work at scale — and builds the data organizations that make it trustworthy — operating on a simple conviction: in regulated industries, </w:t>
      </w:r>
      <w:r>
        <w:rPr>
          <w:rFonts w:ascii="Calibri" w:cs="Calibri" w:eastAsia="Calibri" w:hAnsi="Calibri"/>
          <w:i/>
          <w:iCs/>
          <w:color w:val="1B2733"/>
          <w:sz w:val="20"/>
          <w:szCs w:val="20"/>
        </w:rPr>
        <w:t xml:space="preserve">governance is what makes AI shippable, and trusted data is the foundation it stands on.</w:t>
      </w:r>
    </w:p>
    <w:p>
      <w:pPr>
        <w:spacing w:after="140" w:line="264"/>
        <w:jc w:val="both"/>
      </w:pPr>
      <w:r>
        <w:rPr>
          <w:rFonts w:ascii="Calibri" w:cs="Calibri" w:eastAsia="Calibri" w:hAnsi="Calibri"/>
          <w:color w:val="1B2733"/>
          <w:sz w:val="20"/>
          <w:szCs w:val="20"/>
        </w:rPr>
        <w:t xml:space="preserve">As SVP of Data, Analytics, AI &amp; Governance for a </w:t>
      </w:r>
      <w:r>
        <w:rPr>
          <w:rFonts w:ascii="Calibri" w:cs="Calibri" w:eastAsia="Calibri" w:hAnsi="Calibri"/>
          <w:b/>
          <w:bCs/>
          <w:color w:val="1B2733"/>
          <w:sz w:val="20"/>
          <w:szCs w:val="20"/>
        </w:rPr>
        <w:t xml:space="preserve">$150B+ wealth management business</w:t>
      </w:r>
      <w:r>
        <w:rPr>
          <w:rFonts w:ascii="Calibri" w:cs="Calibri" w:eastAsia="Calibri" w:hAnsi="Calibri"/>
          <w:color w:val="1B2733"/>
          <w:sz w:val="20"/>
          <w:szCs w:val="20"/>
        </w:rPr>
        <w:t xml:space="preserve"> at Regions Financial, he leads enterprise AI and data strategy across AI/ML, advanced analytics, data engineering, business intelligence, and governance. He directed the deployment and lifecycle of </w:t>
      </w:r>
      <w:r>
        <w:rPr>
          <w:rFonts w:ascii="Calibri" w:cs="Calibri" w:eastAsia="Calibri" w:hAnsi="Calibri"/>
          <w:b/>
          <w:bCs/>
          <w:color w:val="1B2733"/>
          <w:sz w:val="20"/>
          <w:szCs w:val="20"/>
        </w:rPr>
        <w:t xml:space="preserve">AI/ML models powering hyper-personalization and next-best-action</w:t>
      </w:r>
      <w:r>
        <w:rPr>
          <w:rFonts w:ascii="Calibri" w:cs="Calibri" w:eastAsia="Calibri" w:hAnsi="Calibri"/>
          <w:color w:val="1B2733"/>
          <w:sz w:val="20"/>
          <w:szCs w:val="20"/>
        </w:rPr>
        <w:t xml:space="preserve">, and established the model validation, monitoring, and periodic-review practices that keep them accurate, reliable, and compliant. As </w:t>
      </w:r>
      <w:r>
        <w:rPr>
          <w:rFonts w:ascii="Calibri" w:cs="Calibri" w:eastAsia="Calibri" w:hAnsi="Calibri"/>
          <w:b/>
          <w:bCs/>
          <w:color w:val="1B2733"/>
          <w:sz w:val="20"/>
          <w:szCs w:val="20"/>
        </w:rPr>
        <w:t xml:space="preserve">Group Data Officer</w:t>
      </w:r>
      <w:r>
        <w:rPr>
          <w:rFonts w:ascii="Calibri" w:cs="Calibri" w:eastAsia="Calibri" w:hAnsi="Calibri"/>
          <w:color w:val="1B2733"/>
          <w:sz w:val="20"/>
          <w:szCs w:val="20"/>
        </w:rPr>
        <w:t xml:space="preserve"> and a voting member of the Enterprise Data Advisory Council, he is accountable for how the enterprise governs and trusts the data its AI depends on. He also architected an enterprise Customer 360 ecosystem and led the warehouse modernization from Cloudera to Snowflake — collectively enabling </w:t>
      </w:r>
      <w:r>
        <w:rPr>
          <w:rFonts w:ascii="Calibri" w:cs="Calibri" w:eastAsia="Calibri" w:hAnsi="Calibri"/>
          <w:b/>
          <w:bCs/>
          <w:color w:val="1B2733"/>
          <w:sz w:val="20"/>
          <w:szCs w:val="20"/>
        </w:rPr>
        <w:t xml:space="preserve">10–20% year-over-year growth in new client relationships</w:t>
      </w:r>
      <w:r>
        <w:rPr>
          <w:rFonts w:ascii="Calibri" w:cs="Calibri" w:eastAsia="Calibri" w:hAnsi="Calibri"/>
          <w:color w:val="1B2733"/>
          <w:sz w:val="20"/>
          <w:szCs w:val="20"/>
        </w:rPr>
        <w:t xml:space="preserve"> and double-digit revenue expansion.</w:t>
      </w:r>
    </w:p>
    <w:p>
      <w:pPr>
        <w:spacing w:after="140" w:line="264"/>
        <w:jc w:val="both"/>
      </w:pPr>
      <w:r>
        <w:rPr>
          <w:rFonts w:ascii="Calibri" w:cs="Calibri" w:eastAsia="Calibri" w:hAnsi="Calibri"/>
          <w:color w:val="1B2733"/>
          <w:sz w:val="20"/>
          <w:szCs w:val="20"/>
        </w:rPr>
        <w:t xml:space="preserve">Earlier, as VP of Enterprise Data, Analytics &amp; Cloud Strategy at Renasant Bank, he built the bank's foundational data and analytics ecosystem and chaired its </w:t>
      </w:r>
      <w:r>
        <w:rPr>
          <w:rFonts w:ascii="Calibri" w:cs="Calibri" w:eastAsia="Calibri" w:hAnsi="Calibri"/>
          <w:b/>
          <w:bCs/>
          <w:color w:val="1B2733"/>
          <w:sz w:val="20"/>
          <w:szCs w:val="20"/>
        </w:rPr>
        <w:t xml:space="preserve">first Enterprise Data Governance Office</w:t>
      </w:r>
      <w:r>
        <w:rPr>
          <w:rFonts w:ascii="Calibri" w:cs="Calibri" w:eastAsia="Calibri" w:hAnsi="Calibri"/>
          <w:color w:val="1B2733"/>
          <w:sz w:val="20"/>
          <w:szCs w:val="20"/>
        </w:rPr>
        <w:t xml:space="preserve"> as the institution scaled from roughly </w:t>
      </w:r>
      <w:r>
        <w:rPr>
          <w:rFonts w:ascii="Calibri" w:cs="Calibri" w:eastAsia="Calibri" w:hAnsi="Calibri"/>
          <w:b/>
          <w:bCs/>
          <w:color w:val="1B2733"/>
          <w:sz w:val="20"/>
          <w:szCs w:val="20"/>
        </w:rPr>
        <w:t xml:space="preserve">$4B to $20B in assets</w:t>
      </w:r>
      <w:r>
        <w:rPr>
          <w:rFonts w:ascii="Calibri" w:cs="Calibri" w:eastAsia="Calibri" w:hAnsi="Calibri"/>
          <w:color w:val="1B2733"/>
          <w:sz w:val="20"/>
          <w:szCs w:val="20"/>
        </w:rPr>
        <w:t xml:space="preserve"> through organic growth and multiple mergers. His career spans enterprise data architecture, master data management, and cloud modernization across highly regulated environments.</w:t>
      </w:r>
    </w:p>
    <w:p>
      <w:pPr>
        <w:spacing w:after="60" w:line="264"/>
        <w:jc w:val="both"/>
      </w:pPr>
      <w:r>
        <w:rPr>
          <w:rFonts w:ascii="Calibri" w:cs="Calibri" w:eastAsia="Calibri" w:hAnsi="Calibri"/>
          <w:color w:val="1B2733"/>
          <w:sz w:val="20"/>
          <w:szCs w:val="20"/>
        </w:rPr>
        <w:t xml:space="preserve">He is recognized as a trusted executive partner across business, product, technology, risk, and compliance — and for building high-performing, cross-functional teams that align data and AI investment with the priorities that drive growth, efficiency, and innovation.</w:t>
      </w:r>
    </w:p>
    <w:p>
      <w:pPr>
        <w:pBdr>
          <w:bottom w:val="single" w:color="D2DAE1" w:sz="6" w:space="4"/>
        </w:pBdr>
        <w:spacing w:after="90" w:before="240"/>
      </w:pPr>
      <w:r>
        <w:rPr>
          <w:rFonts w:ascii="Calibri" w:cs="Calibri" w:eastAsia="Calibri" w:hAnsi="Calibri"/>
          <w:b/>
          <w:bCs/>
          <w:color w:val="B4661E"/>
          <w:spacing w:val="30"/>
          <w:sz w:val="19"/>
          <w:szCs w:val="19"/>
        </w:rPr>
        <w:t xml:space="preserve">SIGNATURE ACHIEVEMENTS</w:t>
      </w:r>
    </w:p>
    <w:p>
      <w:pPr>
        <w:pStyle w:val="ListParagraph"/>
        <w:numPr>
          <w:ilvl w:val="0"/>
          <w:numId w:val="2"/>
        </w:numPr>
        <w:spacing w:after="70" w:line="258"/>
      </w:pPr>
      <w:r>
        <w:rPr>
          <w:rFonts w:ascii="Calibri" w:cs="Calibri" w:eastAsia="Calibri" w:hAnsi="Calibri"/>
          <w:color w:val="1B2733"/>
          <w:sz w:val="20"/>
          <w:szCs w:val="20"/>
        </w:rPr>
        <w:t xml:space="preserve">Directs enterprise AI/ML and GenAI capabilities — personalization, next-best-action, retention — in production for a $150B+ business.</w:t>
      </w:r>
    </w:p>
    <w:p>
      <w:pPr>
        <w:pStyle w:val="ListParagraph"/>
        <w:numPr>
          <w:ilvl w:val="0"/>
          <w:numId w:val="2"/>
        </w:numPr>
        <w:spacing w:after="70" w:line="258"/>
      </w:pPr>
      <w:r>
        <w:rPr>
          <w:rFonts w:ascii="Calibri" w:cs="Calibri" w:eastAsia="Calibri" w:hAnsi="Calibri"/>
          <w:color w:val="1B2733"/>
          <w:sz w:val="20"/>
          <w:szCs w:val="20"/>
        </w:rPr>
        <w:t xml:space="preserve">Built the Responsible AI foundation: model validation, monitoring, and periodic review that make AI trustworthy in a regulated enterprise.</w:t>
      </w:r>
    </w:p>
    <w:p>
      <w:pPr>
        <w:pStyle w:val="ListParagraph"/>
        <w:numPr>
          <w:ilvl w:val="0"/>
          <w:numId w:val="2"/>
        </w:numPr>
        <w:spacing w:after="70" w:line="258"/>
      </w:pPr>
      <w:r>
        <w:rPr>
          <w:rFonts w:ascii="Calibri" w:cs="Calibri" w:eastAsia="Calibri" w:hAnsi="Calibri"/>
          <w:color w:val="1B2733"/>
          <w:sz w:val="20"/>
          <w:szCs w:val="20"/>
        </w:rPr>
        <w:t xml:space="preserve">Leads enterprise data, analytics &amp; AI as Group Data Officer and voting member of the Enterprise Data Advisory Council.</w:t>
      </w:r>
    </w:p>
    <w:p>
      <w:pPr>
        <w:pStyle w:val="ListParagraph"/>
        <w:numPr>
          <w:ilvl w:val="0"/>
          <w:numId w:val="2"/>
        </w:numPr>
        <w:spacing w:after="70" w:line="258"/>
      </w:pPr>
      <w:r>
        <w:rPr>
          <w:rFonts w:ascii="Calibri" w:cs="Calibri" w:eastAsia="Calibri" w:hAnsi="Calibri"/>
          <w:color w:val="1B2733"/>
          <w:sz w:val="20"/>
          <w:szCs w:val="20"/>
        </w:rPr>
        <w:t xml:space="preserve">Architected and launched an enterprise Customer 360 platform unifying intelligence across retail, commercial, and wealth.</w:t>
      </w:r>
    </w:p>
    <w:p>
      <w:pPr>
        <w:pStyle w:val="ListParagraph"/>
        <w:numPr>
          <w:ilvl w:val="0"/>
          <w:numId w:val="2"/>
        </w:numPr>
        <w:spacing w:after="70" w:line="258"/>
      </w:pPr>
      <w:r>
        <w:rPr>
          <w:rFonts w:ascii="Calibri" w:cs="Calibri" w:eastAsia="Calibri" w:hAnsi="Calibri"/>
          <w:color w:val="1B2733"/>
          <w:sz w:val="20"/>
          <w:szCs w:val="20"/>
        </w:rPr>
        <w:t xml:space="preserve">Led the Cloudera → Snowflake modernization, building an AI-ready cloud data platform.</w:t>
      </w:r>
    </w:p>
    <w:p>
      <w:pPr>
        <w:pStyle w:val="ListParagraph"/>
        <w:numPr>
          <w:ilvl w:val="0"/>
          <w:numId w:val="2"/>
        </w:numPr>
        <w:spacing w:after="70" w:line="258"/>
      </w:pPr>
      <w:r>
        <w:rPr>
          <w:rFonts w:ascii="Calibri" w:cs="Calibri" w:eastAsia="Calibri" w:hAnsi="Calibri"/>
          <w:color w:val="1B2733"/>
          <w:sz w:val="20"/>
          <w:szCs w:val="20"/>
        </w:rPr>
        <w:t xml:space="preserve">Scaled a bank's data organization from ~$4B to $20B in assets and chaired its first Enterprise Data Governance Office.</w:t>
      </w:r>
    </w:p>
    <w:p>
      <w:pPr>
        <w:pBdr>
          <w:bottom w:val="single" w:color="D2DAE1" w:sz="6" w:space="4"/>
        </w:pBdr>
        <w:spacing w:after="90" w:before="240"/>
      </w:pPr>
      <w:r>
        <w:rPr>
          <w:rFonts w:ascii="Calibri" w:cs="Calibri" w:eastAsia="Calibri" w:hAnsi="Calibri"/>
          <w:b/>
          <w:bCs/>
          <w:color w:val="B4661E"/>
          <w:spacing w:val="30"/>
          <w:sz w:val="19"/>
          <w:szCs w:val="19"/>
        </w:rPr>
        <w:t xml:space="preserve">EDUCATION &amp; CREDENTIALS</w:t>
      </w:r>
    </w:p>
    <w:p>
      <w:pPr>
        <w:spacing w:after="40" w:line="264"/>
      </w:pPr>
      <w:r>
        <w:rPr>
          <w:rFonts w:ascii="Calibri" w:cs="Calibri" w:eastAsia="Calibri" w:hAnsi="Calibri"/>
          <w:b/>
          <w:bCs/>
          <w:color w:val="1B2733"/>
          <w:sz w:val="20"/>
          <w:szCs w:val="20"/>
        </w:rPr>
        <w:t xml:space="preserve">MBA</w:t>
      </w:r>
      <w:r>
        <w:rPr>
          <w:rFonts w:ascii="Calibri" w:cs="Calibri" w:eastAsia="Calibri" w:hAnsi="Calibri"/>
          <w:color w:val="1B2733"/>
          <w:sz w:val="20"/>
          <w:szCs w:val="20"/>
        </w:rPr>
        <w:t xml:space="preserve">, Gies College of Business, University of Illinois Urbana-Champaign    </w:t>
      </w:r>
      <w:r>
        <w:rPr>
          <w:rFonts w:ascii="Calibri" w:cs="Calibri" w:eastAsia="Calibri" w:hAnsi="Calibri"/>
          <w:b/>
          <w:bCs/>
          <w:color w:val="1B2733"/>
          <w:sz w:val="20"/>
          <w:szCs w:val="20"/>
        </w:rPr>
        <w:t xml:space="preserve">MS</w:t>
      </w:r>
      <w:r>
        <w:rPr>
          <w:rFonts w:ascii="Calibri" w:cs="Calibri" w:eastAsia="Calibri" w:hAnsi="Calibri"/>
          <w:color w:val="1B2733"/>
          <w:sz w:val="20"/>
          <w:szCs w:val="20"/>
        </w:rPr>
        <w:t xml:space="preserve">, Information Engineering Management, University of Alabama at Birmingham</w:t>
      </w:r>
    </w:p>
    <w:p>
      <w:pPr>
        <w:spacing w:after="40" w:line="264"/>
      </w:pPr>
      <w:r>
        <w:rPr>
          <w:rFonts w:ascii="Calibri" w:cs="Calibri" w:eastAsia="Calibri" w:hAnsi="Calibri"/>
          <w:b/>
          <w:bCs/>
          <w:color w:val="1B2733"/>
          <w:sz w:val="20"/>
          <w:szCs w:val="20"/>
        </w:rPr>
        <w:t xml:space="preserve">Executive education: </w:t>
      </w:r>
      <w:r>
        <w:rPr>
          <w:rFonts w:ascii="Calibri" w:cs="Calibri" w:eastAsia="Calibri" w:hAnsi="Calibri"/>
          <w:color w:val="1B2733"/>
          <w:sz w:val="20"/>
          <w:szCs w:val="20"/>
        </w:rPr>
        <w:t xml:space="preserve">PG Program in AI &amp; Machine Learning (McCombs, UT Austin)  ·  Big Data &amp; Social Analytics (MIT Sloan)  ·  Entrepreneurship &amp; Strategic Innovation, Strategic Leadership &amp; Management, and Business Analytics Specializations (Gies, Illinois)</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00"/>
      </w:pPr>
      <w:rPr>
        <w:color w:val="B4661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2026-08-25T13:41:21.035Z</dcterms:created>
  <dcterms:modified xsi:type="dcterms:W3CDTF">2026-08-25T13:41:21.036Z</dcterms:modified>
</cp:coreProperties>
</file>

<file path=docProps/custom.xml><?xml version="1.0" encoding="utf-8"?>
<Properties xmlns="http://schemas.openxmlformats.org/officeDocument/2006/custom-properties" xmlns:vt="http://schemas.openxmlformats.org/officeDocument/2006/docPropsVTypes"/>
</file>